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AFBD" w14:textId="0F1D7193" w:rsidR="00D52708" w:rsidRPr="004B60E6" w:rsidRDefault="004B60E6" w:rsidP="004B60E6">
      <w:pPr>
        <w:pStyle w:val="Heading1"/>
        <w:spacing w:after="240"/>
        <w:jc w:val="center"/>
        <w:rPr>
          <w:rFonts w:ascii="Verdana" w:hAnsi="Verdana"/>
          <w:b/>
          <w:bCs/>
          <w:color w:val="auto"/>
          <w:sz w:val="28"/>
          <w:szCs w:val="28"/>
        </w:rPr>
      </w:pPr>
      <w:r w:rsidRPr="004B60E6">
        <w:rPr>
          <w:rFonts w:ascii="Verdana" w:hAnsi="Verdana"/>
          <w:b/>
          <w:bCs/>
          <w:color w:val="auto"/>
          <w:sz w:val="28"/>
          <w:szCs w:val="28"/>
        </w:rPr>
        <w:t>Matrix Approach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B60E6" w14:paraId="071388AE" w14:textId="77777777" w:rsidTr="004B60E6">
        <w:tc>
          <w:tcPr>
            <w:tcW w:w="3596" w:type="dxa"/>
          </w:tcPr>
          <w:p w14:paraId="258F0708" w14:textId="5B4D11CA" w:rsidR="004B60E6" w:rsidRPr="004B60E6" w:rsidRDefault="004B60E6" w:rsidP="004B60E6">
            <w:pPr>
              <w:pStyle w:val="Heading2"/>
              <w:jc w:val="center"/>
              <w:rPr>
                <w:rFonts w:ascii="Verdana" w:hAnsi="Verdana"/>
                <w:b/>
                <w:bCs/>
                <w:color w:val="auto"/>
                <w:sz w:val="24"/>
                <w:szCs w:val="24"/>
              </w:rPr>
            </w:pPr>
            <w:r w:rsidRPr="004B60E6">
              <w:rPr>
                <w:rFonts w:ascii="Verdana" w:hAnsi="Verdana"/>
                <w:b/>
                <w:bCs/>
                <w:color w:val="auto"/>
                <w:sz w:val="24"/>
                <w:szCs w:val="24"/>
              </w:rPr>
              <w:t>Phase 1: PLANNING</w:t>
            </w:r>
          </w:p>
        </w:tc>
        <w:tc>
          <w:tcPr>
            <w:tcW w:w="3597" w:type="dxa"/>
          </w:tcPr>
          <w:p w14:paraId="7B0D8768" w14:textId="1F4A070B" w:rsidR="004B60E6" w:rsidRPr="004B60E6" w:rsidRDefault="004B60E6" w:rsidP="004B60E6">
            <w:pPr>
              <w:pStyle w:val="Heading2"/>
              <w:jc w:val="center"/>
              <w:rPr>
                <w:rFonts w:ascii="Verdana" w:hAnsi="Verdana"/>
                <w:b/>
                <w:bCs/>
                <w:color w:val="auto"/>
                <w:sz w:val="24"/>
                <w:szCs w:val="24"/>
              </w:rPr>
            </w:pPr>
            <w:r w:rsidRPr="004B60E6">
              <w:rPr>
                <w:rFonts w:ascii="Verdana" w:hAnsi="Verdana"/>
                <w:b/>
                <w:bCs/>
                <w:color w:val="auto"/>
                <w:sz w:val="24"/>
                <w:szCs w:val="24"/>
              </w:rPr>
              <w:t>Phase 2: ENGAGEMENT</w:t>
            </w:r>
          </w:p>
        </w:tc>
        <w:tc>
          <w:tcPr>
            <w:tcW w:w="3597" w:type="dxa"/>
          </w:tcPr>
          <w:p w14:paraId="5110A840" w14:textId="51B17D93" w:rsidR="004B60E6" w:rsidRPr="004B60E6" w:rsidRDefault="004B60E6" w:rsidP="004B60E6">
            <w:pPr>
              <w:pStyle w:val="Heading2"/>
              <w:jc w:val="center"/>
              <w:rPr>
                <w:rFonts w:ascii="Verdana" w:hAnsi="Verdana"/>
                <w:b/>
                <w:bCs/>
                <w:color w:val="auto"/>
                <w:sz w:val="24"/>
                <w:szCs w:val="24"/>
              </w:rPr>
            </w:pPr>
            <w:r w:rsidRPr="004B60E6">
              <w:rPr>
                <w:rFonts w:ascii="Verdana" w:hAnsi="Verdana"/>
                <w:b/>
                <w:bCs/>
                <w:color w:val="auto"/>
                <w:sz w:val="24"/>
                <w:szCs w:val="24"/>
              </w:rPr>
              <w:t>Phase 3: REFLECTION</w:t>
            </w:r>
          </w:p>
        </w:tc>
      </w:tr>
      <w:tr w:rsidR="004B60E6" w14:paraId="76016839" w14:textId="77777777" w:rsidTr="004B60E6">
        <w:tc>
          <w:tcPr>
            <w:tcW w:w="3596" w:type="dxa"/>
          </w:tcPr>
          <w:p w14:paraId="223DDE46" w14:textId="572966B0" w:rsidR="004B60E6" w:rsidRPr="004B60E6" w:rsidRDefault="004B60E6" w:rsidP="004B60E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B60E6">
              <w:rPr>
                <w:rFonts w:ascii="Verdana" w:hAnsi="Verdana"/>
                <w:sz w:val="24"/>
                <w:szCs w:val="24"/>
              </w:rPr>
              <w:t>Goals/outcomes</w:t>
            </w:r>
          </w:p>
          <w:p w14:paraId="7D39C510" w14:textId="77777777" w:rsidR="004B60E6" w:rsidRPr="004B60E6" w:rsidRDefault="004B60E6" w:rsidP="004B60E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B60E6">
              <w:rPr>
                <w:rFonts w:ascii="Verdana" w:hAnsi="Verdana"/>
                <w:sz w:val="24"/>
                <w:szCs w:val="24"/>
              </w:rPr>
              <w:t>Routine</w:t>
            </w:r>
          </w:p>
          <w:p w14:paraId="41A3D616" w14:textId="082FF7DA" w:rsidR="004B60E6" w:rsidRPr="004B60E6" w:rsidRDefault="004B60E6" w:rsidP="004B60E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B60E6">
              <w:rPr>
                <w:rFonts w:ascii="Verdana" w:hAnsi="Verdana"/>
                <w:sz w:val="24"/>
                <w:szCs w:val="24"/>
              </w:rPr>
              <w:t>Problem-solving activities</w:t>
            </w:r>
          </w:p>
          <w:p w14:paraId="006FC5C5" w14:textId="1CF96C0A" w:rsidR="004B60E6" w:rsidRPr="004B60E6" w:rsidRDefault="004B60E6" w:rsidP="004B60E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B60E6">
              <w:rPr>
                <w:rFonts w:ascii="Verdana" w:hAnsi="Verdana"/>
                <w:sz w:val="24"/>
                <w:szCs w:val="24"/>
              </w:rPr>
              <w:t>Choose activity</w:t>
            </w:r>
          </w:p>
          <w:p w14:paraId="136F1E21" w14:textId="19231A90" w:rsidR="004B60E6" w:rsidRPr="004B60E6" w:rsidRDefault="004B60E6" w:rsidP="004B60E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B60E6">
              <w:rPr>
                <w:rFonts w:ascii="Verdana" w:hAnsi="Verdana"/>
                <w:sz w:val="24"/>
                <w:szCs w:val="24"/>
              </w:rPr>
              <w:t>Set up environment</w:t>
            </w:r>
          </w:p>
        </w:tc>
        <w:tc>
          <w:tcPr>
            <w:tcW w:w="3597" w:type="dxa"/>
          </w:tcPr>
          <w:p w14:paraId="7EF9494C" w14:textId="77777777" w:rsidR="004B60E6" w:rsidRPr="004B60E6" w:rsidRDefault="004B60E6" w:rsidP="004B60E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B60E6">
              <w:rPr>
                <w:rFonts w:ascii="Verdana" w:hAnsi="Verdana"/>
                <w:sz w:val="24"/>
                <w:szCs w:val="24"/>
              </w:rPr>
              <w:t>Parent begins the activity</w:t>
            </w:r>
          </w:p>
          <w:p w14:paraId="28E3A431" w14:textId="5DDDDD2F" w:rsidR="004B60E6" w:rsidRPr="004B60E6" w:rsidRDefault="004B60E6" w:rsidP="004B60E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B60E6">
              <w:rPr>
                <w:rFonts w:ascii="Verdana" w:hAnsi="Verdana"/>
                <w:sz w:val="24"/>
                <w:szCs w:val="24"/>
              </w:rPr>
              <w:t>Early Intervention TVI Supports</w:t>
            </w:r>
          </w:p>
        </w:tc>
        <w:tc>
          <w:tcPr>
            <w:tcW w:w="3597" w:type="dxa"/>
          </w:tcPr>
          <w:p w14:paraId="78ADDB72" w14:textId="77777777" w:rsidR="004B60E6" w:rsidRPr="004B60E6" w:rsidRDefault="004B60E6" w:rsidP="004B60E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B60E6">
              <w:rPr>
                <w:rFonts w:ascii="Verdana" w:hAnsi="Verdana"/>
                <w:sz w:val="24"/>
                <w:szCs w:val="24"/>
              </w:rPr>
              <w:t>Session reflection</w:t>
            </w:r>
          </w:p>
          <w:p w14:paraId="401EBB3A" w14:textId="1D8222AC" w:rsidR="004B60E6" w:rsidRPr="004B60E6" w:rsidRDefault="004B60E6" w:rsidP="004B60E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B60E6">
              <w:rPr>
                <w:rFonts w:ascii="Verdana" w:hAnsi="Verdana"/>
                <w:sz w:val="24"/>
                <w:szCs w:val="24"/>
              </w:rPr>
              <w:t>Extension</w:t>
            </w:r>
          </w:p>
        </w:tc>
      </w:tr>
    </w:tbl>
    <w:p w14:paraId="0710EA63" w14:textId="2079240A" w:rsidR="004B60E6" w:rsidRDefault="004B60E6" w:rsidP="004B60E6">
      <w:pPr>
        <w:autoSpaceDE w:val="0"/>
        <w:autoSpaceDN w:val="0"/>
        <w:adjustRightInd w:val="0"/>
        <w:spacing w:before="240" w:line="240" w:lineRule="auto"/>
        <w:rPr>
          <w:rFonts w:ascii="Verdana" w:hAnsi="Verdana" w:cs="Cambria"/>
          <w:sz w:val="28"/>
          <w:szCs w:val="28"/>
        </w:rPr>
      </w:pPr>
      <w:r w:rsidRPr="004B60E6">
        <w:rPr>
          <w:rFonts w:ascii="Verdana" w:hAnsi="Verdana" w:cs="Cambria"/>
          <w:sz w:val="28"/>
          <w:szCs w:val="28"/>
        </w:rPr>
        <w:t>Detailed description of each step within the three phases is provided below:</w:t>
      </w:r>
    </w:p>
    <w:p w14:paraId="2EFC8AEB" w14:textId="77777777" w:rsidR="004B60E6" w:rsidRPr="004B60E6" w:rsidRDefault="004B60E6" w:rsidP="004B60E6">
      <w:pPr>
        <w:pStyle w:val="Heading2"/>
        <w:spacing w:after="240"/>
        <w:rPr>
          <w:rFonts w:ascii="Verdana" w:hAnsi="Verdana"/>
          <w:b/>
          <w:bCs/>
          <w:color w:val="auto"/>
          <w:sz w:val="24"/>
          <w:szCs w:val="24"/>
        </w:rPr>
      </w:pPr>
      <w:r w:rsidRPr="004B60E6">
        <w:rPr>
          <w:rFonts w:ascii="Verdana" w:hAnsi="Verdana"/>
          <w:b/>
          <w:bCs/>
          <w:color w:val="auto"/>
          <w:sz w:val="24"/>
          <w:szCs w:val="24"/>
        </w:rPr>
        <w:t>Phase 1 Planning</w:t>
      </w:r>
    </w:p>
    <w:p w14:paraId="4504DFCE" w14:textId="77777777" w:rsidR="004B60E6" w:rsidRDefault="004B60E6" w:rsidP="004B60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24"/>
          <w:szCs w:val="24"/>
        </w:rPr>
      </w:pPr>
      <w:r w:rsidRPr="004B60E6">
        <w:rPr>
          <w:rFonts w:ascii="Verdana" w:hAnsi="Verdana" w:cs="Cambria"/>
          <w:sz w:val="24"/>
          <w:szCs w:val="24"/>
        </w:rPr>
        <w:t>Goals/Outcomes on Matrix – Identify or review of the family’s preferred target outcomes and add to left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>column of matrix on worksheet. Initially, this is likely to take several minutes. In subsequent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>sessions, professionals can quickly ask parents if the identified outcomes are still appropriate. If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>parents indicate a change is needed, professionals will make changes.</w:t>
      </w:r>
    </w:p>
    <w:p w14:paraId="25ACD1D5" w14:textId="77777777" w:rsidR="004B60E6" w:rsidRDefault="004B60E6" w:rsidP="004B60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24"/>
          <w:szCs w:val="24"/>
        </w:rPr>
      </w:pPr>
      <w:r w:rsidRPr="004B60E6">
        <w:rPr>
          <w:rFonts w:ascii="Verdana" w:hAnsi="Verdana" w:cs="Cambria"/>
          <w:sz w:val="24"/>
          <w:szCs w:val="24"/>
        </w:rPr>
        <w:t>Routines on Matrix – Identify or review the family’s preferred target routines and add to top row of matrix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>on worksheet. Initially, this is likely to take several minutes. In subsequent sessions, professionals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>can quickly ask parents if the identified routines are still appropriate. If parents indicate a change is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>needed, professionals will make changes.</w:t>
      </w:r>
    </w:p>
    <w:p w14:paraId="43942703" w14:textId="77777777" w:rsidR="004B60E6" w:rsidRDefault="004B60E6" w:rsidP="004B60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24"/>
          <w:szCs w:val="24"/>
        </w:rPr>
      </w:pPr>
      <w:r w:rsidRPr="004B60E6">
        <w:rPr>
          <w:rFonts w:ascii="Verdana" w:hAnsi="Verdana" w:cs="Cambria"/>
          <w:sz w:val="24"/>
          <w:szCs w:val="24"/>
        </w:rPr>
        <w:t>Problem-Solve Activities – Identify or review activities that meet outcomes within daily routines and add to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>appropriate fields within the matrix. These activities should be descriptive including necessary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>adaptations and example materials. Initially, this is likely to take several minutes. In subsequent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 xml:space="preserve">sessions, </w:t>
      </w:r>
      <w:r w:rsidRPr="004B60E6">
        <w:rPr>
          <w:rFonts w:ascii="Verdana" w:hAnsi="Verdana" w:cs="Cambria"/>
          <w:sz w:val="24"/>
          <w:szCs w:val="24"/>
        </w:rPr>
        <w:t>p</w:t>
      </w:r>
      <w:r w:rsidRPr="004B60E6">
        <w:rPr>
          <w:rFonts w:ascii="Verdana" w:hAnsi="Verdana" w:cs="Cambria"/>
          <w:sz w:val="24"/>
          <w:szCs w:val="24"/>
        </w:rPr>
        <w:t>rofessionals can quickly ask parents if the identified activities, adaptations, and materials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>are still appropriate. If parents indicate a change is needed, professionals will make changes.</w:t>
      </w:r>
    </w:p>
    <w:p w14:paraId="107E9AF5" w14:textId="77777777" w:rsidR="004B60E6" w:rsidRDefault="004B60E6" w:rsidP="004B60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24"/>
          <w:szCs w:val="24"/>
        </w:rPr>
      </w:pPr>
      <w:r w:rsidRPr="004B60E6">
        <w:rPr>
          <w:rFonts w:ascii="Verdana" w:hAnsi="Verdana" w:cs="Cambria"/>
          <w:sz w:val="24"/>
          <w:szCs w:val="24"/>
        </w:rPr>
        <w:t>Choose Activity – Parent will choose one activity from the matrix to practice during the session.</w:t>
      </w:r>
    </w:p>
    <w:p w14:paraId="76C12498" w14:textId="71D578FF" w:rsidR="004B60E6" w:rsidRPr="004B60E6" w:rsidRDefault="004B60E6" w:rsidP="004B60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Verdana" w:hAnsi="Verdana" w:cs="Cambria"/>
          <w:sz w:val="24"/>
          <w:szCs w:val="24"/>
        </w:rPr>
      </w:pPr>
      <w:r w:rsidRPr="004B60E6">
        <w:rPr>
          <w:rFonts w:ascii="Verdana" w:hAnsi="Verdana" w:cs="Cambria"/>
          <w:sz w:val="24"/>
          <w:szCs w:val="24"/>
        </w:rPr>
        <w:t>Set up the Environment – Parents and Early intervention TVIs choose an environment for the activity to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>take place. They gather needed materials prepare the space being mindful of the child’s visual needs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>such as lighting and contrast.</w:t>
      </w:r>
    </w:p>
    <w:p w14:paraId="6AA5D8A5" w14:textId="77777777" w:rsidR="004B60E6" w:rsidRPr="004B60E6" w:rsidRDefault="004B60E6" w:rsidP="004B60E6">
      <w:pPr>
        <w:pStyle w:val="Heading2"/>
        <w:spacing w:after="240"/>
        <w:rPr>
          <w:rFonts w:ascii="Verdana" w:hAnsi="Verdana"/>
          <w:b/>
          <w:bCs/>
          <w:color w:val="auto"/>
          <w:sz w:val="24"/>
          <w:szCs w:val="24"/>
        </w:rPr>
      </w:pPr>
      <w:r w:rsidRPr="004B60E6">
        <w:rPr>
          <w:rFonts w:ascii="Verdana" w:hAnsi="Verdana"/>
          <w:b/>
          <w:bCs/>
          <w:color w:val="auto"/>
          <w:sz w:val="24"/>
          <w:szCs w:val="24"/>
        </w:rPr>
        <w:t>Phase 2 Engagement</w:t>
      </w:r>
    </w:p>
    <w:p w14:paraId="7AFD5029" w14:textId="77777777" w:rsidR="004B60E6" w:rsidRDefault="004B60E6" w:rsidP="004B60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24"/>
          <w:szCs w:val="24"/>
        </w:rPr>
      </w:pPr>
      <w:r w:rsidRPr="004B60E6">
        <w:rPr>
          <w:rFonts w:ascii="Verdana" w:hAnsi="Verdana" w:cs="Cambria"/>
          <w:sz w:val="24"/>
          <w:szCs w:val="24"/>
        </w:rPr>
        <w:t>Parent begins the activity – The Early intervention TVI invites the parent to begin the activity. The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>professional observes the parent and child for at least 30 seconds before providing feedback or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>suggestions.</w:t>
      </w:r>
    </w:p>
    <w:p w14:paraId="5D0AD05A" w14:textId="09998B03" w:rsidR="004B60E6" w:rsidRPr="004B60E6" w:rsidRDefault="004B60E6" w:rsidP="004B60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4B60E6">
        <w:rPr>
          <w:rFonts w:ascii="Verdana" w:hAnsi="Verdana" w:cs="Cambria"/>
          <w:sz w:val="24"/>
          <w:szCs w:val="24"/>
        </w:rPr>
        <w:t>Early intervention TVI support – The Early intervention TVI utilizes triadic strategies throughout the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>activity. These strategies include such activities as affirming parent competence, focusing attention,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>providing developmental information, modeling, and providing suggestions (McCollum &amp; Yates,</w:t>
      </w:r>
      <w:r w:rsidRPr="004B60E6">
        <w:rPr>
          <w:rFonts w:ascii="Verdana" w:hAnsi="Verdana" w:cs="Cambria"/>
          <w:sz w:val="24"/>
          <w:szCs w:val="24"/>
        </w:rPr>
        <w:t xml:space="preserve"> </w:t>
      </w:r>
      <w:r w:rsidRPr="004B60E6">
        <w:rPr>
          <w:rFonts w:ascii="Verdana" w:hAnsi="Verdana" w:cs="Cambria"/>
          <w:sz w:val="24"/>
          <w:szCs w:val="24"/>
        </w:rPr>
        <w:t>1994).</w:t>
      </w:r>
    </w:p>
    <w:sectPr w:rsidR="004B60E6" w:rsidRPr="004B60E6" w:rsidSect="004B60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28CC"/>
    <w:multiLevelType w:val="hybridMultilevel"/>
    <w:tmpl w:val="46F49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F3D20"/>
    <w:multiLevelType w:val="hybridMultilevel"/>
    <w:tmpl w:val="7DB03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E6"/>
    <w:rsid w:val="004B60E6"/>
    <w:rsid w:val="00943774"/>
    <w:rsid w:val="009716BA"/>
    <w:rsid w:val="00A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94F2"/>
  <w15:chartTrackingRefBased/>
  <w15:docId w15:val="{16C88757-9613-4F05-8864-A474337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0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B60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B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Campbell</dc:creator>
  <cp:keywords/>
  <dc:description/>
  <cp:lastModifiedBy>Amy Campbell</cp:lastModifiedBy>
  <cp:revision>1</cp:revision>
  <dcterms:created xsi:type="dcterms:W3CDTF">2022-01-10T13:05:00Z</dcterms:created>
  <dcterms:modified xsi:type="dcterms:W3CDTF">2022-01-10T13:16:00Z</dcterms:modified>
</cp:coreProperties>
</file>