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60" w:rsidRPr="003D4893" w:rsidRDefault="00C33A60" w:rsidP="003D4893">
      <w:pPr>
        <w:pStyle w:val="Title"/>
      </w:pPr>
      <w:r w:rsidRPr="003D4893">
        <w:t>Report of the Educational Services Advisory Committee</w:t>
      </w:r>
    </w:p>
    <w:p w:rsidR="00C33A60" w:rsidRPr="003D4893" w:rsidRDefault="00C33A60" w:rsidP="003D4893">
      <w:pPr>
        <w:pStyle w:val="Title"/>
      </w:pPr>
      <w:proofErr w:type="gramStart"/>
      <w:r w:rsidRPr="003D4893">
        <w:t>to</w:t>
      </w:r>
      <w:proofErr w:type="gramEnd"/>
      <w:r w:rsidRPr="003D4893">
        <w:t xml:space="preserve"> the Trustees of the</w:t>
      </w:r>
    </w:p>
    <w:p w:rsidR="00C33A60" w:rsidRPr="003D4893" w:rsidRDefault="00C33A60" w:rsidP="003D4893">
      <w:pPr>
        <w:pStyle w:val="Title"/>
      </w:pPr>
      <w:r w:rsidRPr="003D4893">
        <w:t>American Printing House for the Blind</w:t>
      </w:r>
    </w:p>
    <w:p w:rsidR="00C33A60" w:rsidRPr="003D4893" w:rsidRDefault="00C33A60" w:rsidP="003D4893">
      <w:pPr>
        <w:pStyle w:val="Title"/>
      </w:pPr>
      <w:r w:rsidRPr="003D4893">
        <w:t>Fiscal Year 201</w:t>
      </w:r>
      <w:r w:rsidR="005021E7" w:rsidRPr="003D4893">
        <w:t>9</w:t>
      </w:r>
    </w:p>
    <w:p w:rsidR="00C33A60" w:rsidRPr="00C937E0" w:rsidRDefault="00C33A60" w:rsidP="00C33A60">
      <w:pPr>
        <w:pStyle w:val="NoSpacing"/>
        <w:rPr>
          <w:rFonts w:ascii="Verdana" w:hAnsi="Verdana"/>
          <w:sz w:val="24"/>
          <w:szCs w:val="24"/>
        </w:rPr>
      </w:pPr>
    </w:p>
    <w:p w:rsidR="00C33A60" w:rsidRPr="003D4893" w:rsidRDefault="00AA11F0" w:rsidP="003D4893">
      <w:pPr>
        <w:pStyle w:val="Heading1"/>
      </w:pPr>
      <w:r w:rsidRPr="003D4893">
        <w:t>PURPOSE</w:t>
      </w:r>
    </w:p>
    <w:p w:rsidR="00C33A60" w:rsidRPr="00C937E0" w:rsidRDefault="00C33A60" w:rsidP="00C33A60">
      <w:pPr>
        <w:pStyle w:val="NoSpacing"/>
        <w:rPr>
          <w:rFonts w:ascii="Verdana" w:hAnsi="Verdana" w:cs="Arial"/>
          <w:b/>
          <w:bCs/>
          <w:color w:val="000000"/>
          <w:sz w:val="10"/>
          <w:szCs w:val="10"/>
        </w:rPr>
      </w:pPr>
    </w:p>
    <w:p w:rsidR="00F8127A" w:rsidRDefault="00C33A60" w:rsidP="00C33A60">
      <w:pPr>
        <w:pStyle w:val="NoSpacing"/>
        <w:rPr>
          <w:rFonts w:ascii="Verdana" w:hAnsi="Verdana" w:cs="Arial"/>
          <w:color w:val="000000"/>
          <w:sz w:val="24"/>
          <w:szCs w:val="24"/>
        </w:rPr>
      </w:pPr>
      <w:r w:rsidRPr="00C937E0">
        <w:rPr>
          <w:rFonts w:ascii="Verdana" w:hAnsi="Verdana" w:cs="Arial"/>
          <w:color w:val="000000"/>
          <w:sz w:val="24"/>
          <w:szCs w:val="24"/>
        </w:rPr>
        <w:t>The purpose of the Educational Services Advisory Committee (ESAC) is to:</w:t>
      </w:r>
    </w:p>
    <w:p w:rsidR="00F8127A" w:rsidRPr="00F8127A" w:rsidRDefault="00F8127A" w:rsidP="00C33A60">
      <w:pPr>
        <w:pStyle w:val="NoSpacing"/>
        <w:rPr>
          <w:rFonts w:ascii="Verdana" w:hAnsi="Verdana" w:cs="Arial"/>
          <w:color w:val="000000"/>
          <w:sz w:val="12"/>
          <w:szCs w:val="12"/>
        </w:rPr>
      </w:pPr>
    </w:p>
    <w:p w:rsidR="00C33A60" w:rsidRPr="00C937E0" w:rsidRDefault="00C33A60" w:rsidP="00F8127A">
      <w:pPr>
        <w:pStyle w:val="NoSpacing"/>
        <w:numPr>
          <w:ilvl w:val="0"/>
          <w:numId w:val="6"/>
        </w:numPr>
        <w:ind w:left="360"/>
        <w:rPr>
          <w:rFonts w:ascii="Verdana" w:hAnsi="Verdana" w:cs="Arial"/>
          <w:color w:val="000000"/>
          <w:sz w:val="24"/>
          <w:szCs w:val="24"/>
        </w:rPr>
      </w:pPr>
      <w:r w:rsidRPr="00C937E0">
        <w:rPr>
          <w:rFonts w:ascii="Verdana" w:hAnsi="Verdana" w:cs="Arial"/>
          <w:color w:val="000000"/>
          <w:sz w:val="24"/>
          <w:szCs w:val="24"/>
        </w:rPr>
        <w:t xml:space="preserve">Provide oversight and leadership in the planning, evaluation and delivery of </w:t>
      </w:r>
      <w:r>
        <w:rPr>
          <w:rFonts w:ascii="Verdana" w:hAnsi="Verdana" w:cs="Arial"/>
          <w:color w:val="000000"/>
          <w:sz w:val="24"/>
          <w:szCs w:val="24"/>
        </w:rPr>
        <w:t xml:space="preserve">product-related </w:t>
      </w:r>
      <w:r w:rsidRPr="00C937E0">
        <w:rPr>
          <w:rFonts w:ascii="Verdana" w:hAnsi="Verdana" w:cs="Arial"/>
          <w:color w:val="000000"/>
          <w:sz w:val="24"/>
          <w:szCs w:val="24"/>
        </w:rPr>
        <w:t>services.</w:t>
      </w:r>
    </w:p>
    <w:p w:rsidR="00C33A60" w:rsidRPr="00C937E0" w:rsidRDefault="00C33A60" w:rsidP="00F8127A">
      <w:pPr>
        <w:pStyle w:val="NoSpacing"/>
        <w:numPr>
          <w:ilvl w:val="0"/>
          <w:numId w:val="6"/>
        </w:numPr>
        <w:ind w:left="360"/>
        <w:rPr>
          <w:rFonts w:ascii="Verdana" w:hAnsi="Verdana" w:cs="Arial"/>
          <w:color w:val="000000"/>
          <w:sz w:val="24"/>
          <w:szCs w:val="24"/>
        </w:rPr>
      </w:pPr>
      <w:r w:rsidRPr="00C937E0">
        <w:rPr>
          <w:rFonts w:ascii="Verdana" w:hAnsi="Verdana" w:cs="Arial"/>
          <w:color w:val="000000"/>
          <w:sz w:val="24"/>
          <w:szCs w:val="24"/>
        </w:rPr>
        <w:t>Identify new services needed.</w:t>
      </w:r>
    </w:p>
    <w:p w:rsidR="00C33A60" w:rsidRPr="00C937E0" w:rsidRDefault="00C33A60" w:rsidP="00F8127A">
      <w:pPr>
        <w:pStyle w:val="NoSpacing"/>
        <w:numPr>
          <w:ilvl w:val="0"/>
          <w:numId w:val="6"/>
        </w:numPr>
        <w:ind w:left="360"/>
        <w:rPr>
          <w:rFonts w:ascii="Verdana" w:hAnsi="Verdana" w:cs="Arial"/>
          <w:color w:val="000000"/>
          <w:sz w:val="24"/>
          <w:szCs w:val="24"/>
        </w:rPr>
      </w:pPr>
      <w:r w:rsidRPr="00C937E0">
        <w:rPr>
          <w:rFonts w:ascii="Verdana" w:hAnsi="Verdana" w:cs="Arial"/>
          <w:color w:val="000000"/>
          <w:sz w:val="24"/>
          <w:szCs w:val="24"/>
        </w:rPr>
        <w:t xml:space="preserve">Assist </w:t>
      </w:r>
      <w:r>
        <w:rPr>
          <w:rFonts w:ascii="Verdana" w:hAnsi="Verdana" w:cs="Arial"/>
          <w:color w:val="000000"/>
          <w:sz w:val="24"/>
          <w:szCs w:val="24"/>
        </w:rPr>
        <w:t xml:space="preserve">in </w:t>
      </w:r>
      <w:r w:rsidRPr="00C937E0">
        <w:rPr>
          <w:rFonts w:ascii="Verdana" w:hAnsi="Verdana" w:cs="Arial"/>
          <w:color w:val="000000"/>
          <w:sz w:val="24"/>
          <w:szCs w:val="24"/>
        </w:rPr>
        <w:t>the promotion of</w:t>
      </w:r>
      <w:r w:rsidR="00F8127A">
        <w:rPr>
          <w:rFonts w:ascii="Verdana" w:hAnsi="Verdana" w:cs="Arial"/>
          <w:color w:val="000000"/>
          <w:sz w:val="24"/>
          <w:szCs w:val="24"/>
        </w:rPr>
        <w:t xml:space="preserve"> the </w:t>
      </w:r>
      <w:r w:rsidR="00F8127A" w:rsidRPr="00C937E0">
        <w:rPr>
          <w:rFonts w:ascii="Verdana" w:hAnsi="Verdana"/>
          <w:sz w:val="24"/>
          <w:szCs w:val="24"/>
        </w:rPr>
        <w:t>American Printing Hous</w:t>
      </w:r>
      <w:r w:rsidR="00F8127A">
        <w:rPr>
          <w:rFonts w:ascii="Verdana" w:hAnsi="Verdana"/>
          <w:sz w:val="24"/>
          <w:szCs w:val="24"/>
        </w:rPr>
        <w:t>e for the Blind (APH)</w:t>
      </w:r>
      <w:r w:rsidRPr="00C937E0">
        <w:rPr>
          <w:rFonts w:ascii="Verdana" w:hAnsi="Verdana" w:cs="Arial"/>
          <w:color w:val="000000"/>
          <w:sz w:val="24"/>
          <w:szCs w:val="24"/>
        </w:rPr>
        <w:t xml:space="preserve"> products through services, and</w:t>
      </w:r>
    </w:p>
    <w:p w:rsidR="00C33A60" w:rsidRPr="00CE2302" w:rsidRDefault="00C33A60" w:rsidP="00F8127A">
      <w:pPr>
        <w:pStyle w:val="NoSpacing"/>
        <w:numPr>
          <w:ilvl w:val="0"/>
          <w:numId w:val="6"/>
        </w:numPr>
        <w:ind w:left="360"/>
        <w:rPr>
          <w:rFonts w:ascii="Verdana" w:hAnsi="Verdana" w:cs="Arial"/>
          <w:color w:val="000000"/>
          <w:sz w:val="24"/>
          <w:szCs w:val="24"/>
        </w:rPr>
      </w:pPr>
      <w:r w:rsidRPr="00C937E0">
        <w:rPr>
          <w:rFonts w:ascii="Verdana" w:hAnsi="Verdana" w:cs="Arial"/>
          <w:color w:val="000000"/>
          <w:sz w:val="24"/>
          <w:szCs w:val="24"/>
        </w:rPr>
        <w:t xml:space="preserve">Advise APH on general operations and communications as they relate to the accountability </w:t>
      </w:r>
      <w:r>
        <w:rPr>
          <w:rFonts w:ascii="Verdana" w:hAnsi="Verdana" w:cs="Arial"/>
          <w:color w:val="000000"/>
          <w:sz w:val="24"/>
          <w:szCs w:val="24"/>
        </w:rPr>
        <w:t xml:space="preserve">and accessibility </w:t>
      </w:r>
      <w:r w:rsidRPr="00C937E0">
        <w:rPr>
          <w:rFonts w:ascii="Verdana" w:hAnsi="Verdana" w:cs="Arial"/>
          <w:color w:val="000000"/>
          <w:sz w:val="24"/>
          <w:szCs w:val="24"/>
        </w:rPr>
        <w:t>of services provided.</w:t>
      </w:r>
    </w:p>
    <w:p w:rsidR="00C33A60" w:rsidRDefault="00C33A60" w:rsidP="00C33A60">
      <w:pPr>
        <w:pStyle w:val="NoSpacing"/>
        <w:rPr>
          <w:rFonts w:ascii="Verdana" w:hAnsi="Verdana"/>
          <w:sz w:val="24"/>
          <w:szCs w:val="24"/>
        </w:rPr>
      </w:pPr>
    </w:p>
    <w:p w:rsidR="00C33A60" w:rsidRDefault="00AA11F0" w:rsidP="003D4893">
      <w:pPr>
        <w:pStyle w:val="Heading1"/>
      </w:pPr>
      <w:r>
        <w:t>INTRODUCTION</w:t>
      </w:r>
    </w:p>
    <w:p w:rsidR="00C33A60" w:rsidRPr="00C937E0" w:rsidRDefault="00C33A60" w:rsidP="00C33A60">
      <w:pPr>
        <w:pStyle w:val="NoSpacing"/>
        <w:rPr>
          <w:rFonts w:ascii="Verdana" w:hAnsi="Verdana"/>
          <w:b/>
          <w:sz w:val="10"/>
          <w:szCs w:val="10"/>
        </w:rPr>
      </w:pPr>
    </w:p>
    <w:p w:rsidR="00C33A60" w:rsidRPr="00C937E0" w:rsidRDefault="00C33A60" w:rsidP="00C33A60">
      <w:pPr>
        <w:pStyle w:val="NoSpacing"/>
        <w:rPr>
          <w:rFonts w:ascii="Verdana" w:hAnsi="Verdana"/>
          <w:sz w:val="24"/>
          <w:szCs w:val="24"/>
        </w:rPr>
      </w:pPr>
      <w:r w:rsidRPr="00C937E0">
        <w:rPr>
          <w:rFonts w:ascii="Verdana" w:hAnsi="Verdana"/>
          <w:sz w:val="24"/>
          <w:szCs w:val="24"/>
        </w:rPr>
        <w:t xml:space="preserve">In </w:t>
      </w:r>
      <w:r w:rsidR="0081682F">
        <w:rPr>
          <w:rFonts w:ascii="Verdana" w:hAnsi="Verdana"/>
          <w:sz w:val="24"/>
          <w:szCs w:val="24"/>
        </w:rPr>
        <w:t>April</w:t>
      </w:r>
      <w:r w:rsidRPr="00C937E0">
        <w:rPr>
          <w:rFonts w:ascii="Verdana" w:hAnsi="Verdana"/>
          <w:sz w:val="24"/>
          <w:szCs w:val="24"/>
        </w:rPr>
        <w:t xml:space="preserve"> of 201</w:t>
      </w:r>
      <w:r w:rsidR="0081682F">
        <w:rPr>
          <w:rFonts w:ascii="Verdana" w:hAnsi="Verdana"/>
          <w:sz w:val="24"/>
          <w:szCs w:val="24"/>
        </w:rPr>
        <w:t>9</w:t>
      </w:r>
      <w:r w:rsidRPr="00C937E0">
        <w:rPr>
          <w:rFonts w:ascii="Verdana" w:hAnsi="Verdana"/>
          <w:sz w:val="24"/>
          <w:szCs w:val="24"/>
        </w:rPr>
        <w:t xml:space="preserve"> the ESAC met in Louisville, KY at </w:t>
      </w:r>
      <w:r>
        <w:rPr>
          <w:rFonts w:ascii="Verdana" w:hAnsi="Verdana"/>
          <w:sz w:val="24"/>
          <w:szCs w:val="24"/>
        </w:rPr>
        <w:t xml:space="preserve">APH </w:t>
      </w:r>
      <w:r w:rsidRPr="00C937E0">
        <w:rPr>
          <w:rFonts w:ascii="Verdana" w:hAnsi="Verdana"/>
          <w:sz w:val="24"/>
          <w:szCs w:val="24"/>
        </w:rPr>
        <w:t>to address the 201</w:t>
      </w:r>
      <w:r w:rsidR="0081682F">
        <w:rPr>
          <w:rFonts w:ascii="Verdana" w:hAnsi="Verdana"/>
          <w:sz w:val="24"/>
          <w:szCs w:val="24"/>
        </w:rPr>
        <w:t>8</w:t>
      </w:r>
      <w:r w:rsidRPr="00C937E0">
        <w:rPr>
          <w:rFonts w:ascii="Verdana" w:hAnsi="Verdana"/>
          <w:sz w:val="24"/>
          <w:szCs w:val="24"/>
        </w:rPr>
        <w:t xml:space="preserve"> ESAC report and to develop commendations and recommendations</w:t>
      </w:r>
      <w:r>
        <w:rPr>
          <w:rFonts w:ascii="Verdana" w:hAnsi="Verdana"/>
          <w:sz w:val="24"/>
          <w:szCs w:val="24"/>
        </w:rPr>
        <w:t xml:space="preserve"> for the current fiscal year</w:t>
      </w:r>
      <w:r w:rsidR="00FE7096">
        <w:rPr>
          <w:rFonts w:ascii="Verdana" w:hAnsi="Verdana"/>
          <w:sz w:val="24"/>
          <w:szCs w:val="24"/>
        </w:rPr>
        <w:t xml:space="preserve">. </w:t>
      </w:r>
      <w:r w:rsidRPr="00C937E0">
        <w:rPr>
          <w:rFonts w:ascii="Verdana" w:hAnsi="Verdana"/>
          <w:sz w:val="24"/>
          <w:szCs w:val="24"/>
        </w:rPr>
        <w:t>To assist with this endeavor, interactive presentations were mad</w:t>
      </w:r>
      <w:r>
        <w:rPr>
          <w:rFonts w:ascii="Verdana" w:hAnsi="Verdana"/>
          <w:sz w:val="24"/>
          <w:szCs w:val="24"/>
        </w:rPr>
        <w:t xml:space="preserve">e by APH’s administrative staff, including </w:t>
      </w:r>
      <w:r w:rsidRPr="00C937E0">
        <w:rPr>
          <w:rFonts w:ascii="Verdana" w:hAnsi="Verdana"/>
          <w:sz w:val="24"/>
          <w:szCs w:val="24"/>
        </w:rPr>
        <w:t>progress updates on the 201</w:t>
      </w:r>
      <w:r w:rsidR="0081682F">
        <w:rPr>
          <w:rFonts w:ascii="Verdana" w:hAnsi="Verdana"/>
          <w:sz w:val="24"/>
          <w:szCs w:val="24"/>
        </w:rPr>
        <w:t>8</w:t>
      </w:r>
      <w:r w:rsidRPr="00C937E0">
        <w:rPr>
          <w:rFonts w:ascii="Verdana" w:hAnsi="Verdana"/>
          <w:sz w:val="24"/>
          <w:szCs w:val="24"/>
        </w:rPr>
        <w:t xml:space="preserve"> recommendations, operations and information on new initiatives.</w:t>
      </w:r>
    </w:p>
    <w:p w:rsidR="00D063D8" w:rsidRPr="005602C7" w:rsidRDefault="00D063D8" w:rsidP="00C33A60">
      <w:pPr>
        <w:spacing w:after="0" w:line="240" w:lineRule="auto"/>
      </w:pPr>
    </w:p>
    <w:p w:rsidR="00C33A60" w:rsidRDefault="00AA11F0" w:rsidP="003D4893">
      <w:pPr>
        <w:pStyle w:val="Heading1"/>
      </w:pPr>
      <w:r>
        <w:t>COMMENDATIONS</w:t>
      </w:r>
    </w:p>
    <w:p w:rsidR="003D4893" w:rsidRPr="003D4893" w:rsidRDefault="003D4893" w:rsidP="003D4893">
      <w:bookmarkStart w:id="0" w:name="_GoBack"/>
      <w:bookmarkEnd w:id="0"/>
    </w:p>
    <w:p w:rsidR="00C33A60" w:rsidRPr="0081682F" w:rsidRDefault="00C33A60" w:rsidP="00AA11F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81682F">
        <w:rPr>
          <w:rFonts w:ascii="Verdana" w:hAnsi="Verdana"/>
          <w:sz w:val="24"/>
          <w:szCs w:val="24"/>
        </w:rPr>
        <w:t xml:space="preserve">The ESAC offers a commendation for </w:t>
      </w:r>
      <w:r w:rsidR="0081682F" w:rsidRPr="0081682F">
        <w:rPr>
          <w:rFonts w:ascii="Verdana" w:eastAsia="Times New Roman" w:hAnsi="Verdana"/>
          <w:sz w:val="24"/>
          <w:szCs w:val="24"/>
        </w:rPr>
        <w:t>the important work that has been done in customer experience. The development of a centralized office location and a dedicated department for customer experience demonstrates APH’s commitment of on customer interactions</w:t>
      </w:r>
      <w:r w:rsidRPr="0081682F">
        <w:rPr>
          <w:rFonts w:ascii="Verdana" w:hAnsi="Verdana"/>
          <w:sz w:val="24"/>
          <w:szCs w:val="24"/>
        </w:rPr>
        <w:t>.</w:t>
      </w:r>
    </w:p>
    <w:p w:rsidR="00C33A60" w:rsidRPr="00C33A60" w:rsidRDefault="00C33A60" w:rsidP="00AA11F0">
      <w:pPr>
        <w:spacing w:after="0" w:line="240" w:lineRule="auto"/>
        <w:ind w:left="360"/>
        <w:rPr>
          <w:rFonts w:ascii="Verdana" w:hAnsi="Verdana"/>
          <w:sz w:val="8"/>
          <w:szCs w:val="8"/>
        </w:rPr>
      </w:pPr>
    </w:p>
    <w:p w:rsidR="00C33A60" w:rsidRPr="0081682F" w:rsidRDefault="00C33A60" w:rsidP="00AA11F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81682F">
        <w:rPr>
          <w:rFonts w:ascii="Verdana" w:hAnsi="Verdana"/>
          <w:sz w:val="24"/>
          <w:szCs w:val="24"/>
        </w:rPr>
        <w:t xml:space="preserve">The ESAC offers a commendation for </w:t>
      </w:r>
      <w:r w:rsidR="0081682F" w:rsidRPr="0081682F">
        <w:rPr>
          <w:rFonts w:ascii="Verdana" w:eastAsia="Times New Roman" w:hAnsi="Verdana"/>
          <w:sz w:val="24"/>
          <w:szCs w:val="24"/>
        </w:rPr>
        <w:t>the progress that has been made on the APH shopping website including incorporating many details based on requests of EOTs</w:t>
      </w:r>
      <w:r w:rsidRPr="0081682F">
        <w:rPr>
          <w:rFonts w:ascii="Verdana" w:hAnsi="Verdana"/>
          <w:sz w:val="24"/>
          <w:szCs w:val="24"/>
        </w:rPr>
        <w:t>.</w:t>
      </w:r>
    </w:p>
    <w:p w:rsidR="00C33A60" w:rsidRPr="00C33A60" w:rsidRDefault="00C33A60" w:rsidP="00AA11F0">
      <w:pPr>
        <w:spacing w:after="0" w:line="240" w:lineRule="auto"/>
        <w:ind w:left="360"/>
        <w:rPr>
          <w:rFonts w:ascii="Verdana" w:hAnsi="Verdana"/>
          <w:sz w:val="8"/>
          <w:szCs w:val="8"/>
        </w:rPr>
      </w:pPr>
    </w:p>
    <w:p w:rsidR="00C33A60" w:rsidRPr="0081682F" w:rsidRDefault="00C33A60" w:rsidP="00AA11F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81682F">
        <w:rPr>
          <w:rFonts w:ascii="Verdana" w:hAnsi="Verdana"/>
          <w:sz w:val="24"/>
          <w:szCs w:val="24"/>
        </w:rPr>
        <w:t xml:space="preserve">The ESAC offers a commendation for </w:t>
      </w:r>
      <w:r w:rsidR="0081682F" w:rsidRPr="0081682F">
        <w:rPr>
          <w:rFonts w:ascii="Verdana" w:eastAsia="Times New Roman" w:hAnsi="Verdana"/>
          <w:sz w:val="24"/>
          <w:szCs w:val="24"/>
        </w:rPr>
        <w:t>the attention and progress in the area of accessibility of information internally for staff. Additional kudos to moving toward sharing the accessibility guidelines and tools externally</w:t>
      </w:r>
      <w:r w:rsidRPr="0081682F">
        <w:rPr>
          <w:rFonts w:ascii="Verdana" w:hAnsi="Verdana"/>
          <w:sz w:val="24"/>
          <w:szCs w:val="24"/>
        </w:rPr>
        <w:t>.</w:t>
      </w:r>
    </w:p>
    <w:p w:rsidR="00C33A60" w:rsidRPr="00C33A60" w:rsidRDefault="00C33A60" w:rsidP="00AA11F0">
      <w:pPr>
        <w:spacing w:after="0" w:line="240" w:lineRule="auto"/>
        <w:ind w:left="360"/>
        <w:rPr>
          <w:rFonts w:ascii="Verdana" w:hAnsi="Verdana"/>
          <w:sz w:val="8"/>
          <w:szCs w:val="8"/>
        </w:rPr>
      </w:pPr>
    </w:p>
    <w:p w:rsidR="00C33A60" w:rsidRPr="0081682F" w:rsidRDefault="00C33A60" w:rsidP="00AA11F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81682F">
        <w:rPr>
          <w:rFonts w:ascii="Verdana" w:hAnsi="Verdana"/>
          <w:sz w:val="24"/>
          <w:szCs w:val="24"/>
        </w:rPr>
        <w:t xml:space="preserve">The ESAC offers a commendation for the </w:t>
      </w:r>
      <w:r w:rsidR="0081682F" w:rsidRPr="0081682F">
        <w:rPr>
          <w:rFonts w:ascii="Verdana" w:eastAsia="Times New Roman" w:hAnsi="Verdana"/>
          <w:sz w:val="24"/>
          <w:szCs w:val="24"/>
        </w:rPr>
        <w:t>continued improvement and expansion of the SRS system which has supported EOTs by making their work more efficient</w:t>
      </w:r>
      <w:r w:rsidRPr="0081682F">
        <w:rPr>
          <w:rFonts w:ascii="Verdana" w:hAnsi="Verdana"/>
          <w:sz w:val="24"/>
          <w:szCs w:val="24"/>
        </w:rPr>
        <w:t xml:space="preserve">. </w:t>
      </w:r>
    </w:p>
    <w:p w:rsidR="00C33A60" w:rsidRPr="00C33A60" w:rsidRDefault="00C33A60" w:rsidP="00AA11F0">
      <w:pPr>
        <w:spacing w:after="0" w:line="240" w:lineRule="auto"/>
        <w:ind w:left="360"/>
        <w:rPr>
          <w:rFonts w:ascii="Verdana" w:hAnsi="Verdana"/>
          <w:sz w:val="8"/>
          <w:szCs w:val="8"/>
        </w:rPr>
      </w:pPr>
    </w:p>
    <w:p w:rsidR="00C33A60" w:rsidRDefault="00C33A60" w:rsidP="00AA11F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81682F">
        <w:rPr>
          <w:rFonts w:ascii="Verdana" w:hAnsi="Verdana"/>
          <w:sz w:val="24"/>
          <w:szCs w:val="24"/>
        </w:rPr>
        <w:t xml:space="preserve">The ESAC offers a commendation for </w:t>
      </w:r>
      <w:r w:rsidR="0081682F" w:rsidRPr="0081682F">
        <w:rPr>
          <w:rFonts w:ascii="Verdana" w:eastAsia="Times New Roman" w:hAnsi="Verdana"/>
          <w:sz w:val="24"/>
          <w:szCs w:val="24"/>
        </w:rPr>
        <w:t>its legislative call to action to proactively address proposed federal budget cuts and legislative advocacy to increase the per-pupil appropriation</w:t>
      </w:r>
      <w:r w:rsidR="0081682F">
        <w:rPr>
          <w:rFonts w:ascii="Verdana" w:hAnsi="Verdana"/>
          <w:sz w:val="24"/>
          <w:szCs w:val="24"/>
        </w:rPr>
        <w:t>.</w:t>
      </w:r>
    </w:p>
    <w:p w:rsidR="0081682F" w:rsidRPr="0081682F" w:rsidRDefault="0081682F" w:rsidP="00AA11F0">
      <w:pPr>
        <w:spacing w:after="0" w:line="240" w:lineRule="auto"/>
        <w:ind w:left="360"/>
        <w:rPr>
          <w:rFonts w:ascii="Verdana" w:hAnsi="Verdana"/>
          <w:sz w:val="8"/>
          <w:szCs w:val="8"/>
        </w:rPr>
      </w:pPr>
    </w:p>
    <w:p w:rsidR="00C33A60" w:rsidRPr="0081682F" w:rsidRDefault="00C33A60" w:rsidP="00AA11F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81682F">
        <w:rPr>
          <w:rFonts w:ascii="Verdana" w:hAnsi="Verdana"/>
          <w:sz w:val="24"/>
          <w:szCs w:val="24"/>
        </w:rPr>
        <w:lastRenderedPageBreak/>
        <w:t xml:space="preserve">The ESAC offers a commendation </w:t>
      </w:r>
      <w:r w:rsidR="0081682F" w:rsidRPr="0081682F">
        <w:rPr>
          <w:rFonts w:ascii="Verdana" w:eastAsia="Times New Roman" w:hAnsi="Verdana"/>
          <w:sz w:val="24"/>
          <w:szCs w:val="24"/>
        </w:rPr>
        <w:t>its holistic business plan that includes funding streams to supplement federal appropriations for the development of products and services</w:t>
      </w:r>
      <w:r w:rsidRPr="0081682F">
        <w:rPr>
          <w:rFonts w:ascii="Verdana" w:hAnsi="Verdana"/>
          <w:sz w:val="24"/>
          <w:szCs w:val="24"/>
        </w:rPr>
        <w:t>.</w:t>
      </w:r>
    </w:p>
    <w:p w:rsidR="00C33A60" w:rsidRPr="00C33A60" w:rsidRDefault="00C33A60" w:rsidP="00AA11F0">
      <w:pPr>
        <w:spacing w:after="0" w:line="240" w:lineRule="auto"/>
        <w:ind w:left="360"/>
        <w:rPr>
          <w:rFonts w:ascii="Verdana" w:hAnsi="Verdana"/>
          <w:sz w:val="8"/>
          <w:szCs w:val="8"/>
        </w:rPr>
      </w:pPr>
    </w:p>
    <w:p w:rsidR="00C33A60" w:rsidRPr="0081682F" w:rsidRDefault="00C33A60" w:rsidP="00AA11F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b/>
          <w:u w:val="single"/>
        </w:rPr>
      </w:pPr>
      <w:r w:rsidRPr="0081682F">
        <w:rPr>
          <w:rFonts w:ascii="Verdana" w:hAnsi="Verdana"/>
          <w:sz w:val="24"/>
          <w:szCs w:val="24"/>
        </w:rPr>
        <w:t xml:space="preserve">The ESAC offers a commendation for </w:t>
      </w:r>
      <w:r w:rsidR="0081682F" w:rsidRPr="0081682F">
        <w:rPr>
          <w:rFonts w:ascii="Verdana" w:eastAsia="Times New Roman" w:hAnsi="Verdana"/>
          <w:sz w:val="24"/>
          <w:szCs w:val="24"/>
        </w:rPr>
        <w:t>openness and willingness to consider changes to long-established practices (such as the format of Annual Meeting) and transparency in sharing detailed information about the company</w:t>
      </w:r>
      <w:r w:rsidRPr="0081682F">
        <w:rPr>
          <w:rFonts w:ascii="Verdana" w:hAnsi="Verdana"/>
          <w:sz w:val="24"/>
          <w:szCs w:val="24"/>
        </w:rPr>
        <w:t>.</w:t>
      </w:r>
    </w:p>
    <w:p w:rsidR="00C33A60" w:rsidRPr="00D063D8" w:rsidRDefault="00C33A60" w:rsidP="00C33A60">
      <w:pPr>
        <w:spacing w:after="0" w:line="240" w:lineRule="auto"/>
      </w:pPr>
    </w:p>
    <w:p w:rsidR="00C33A60" w:rsidRPr="00C937E0" w:rsidRDefault="00C33A60" w:rsidP="003D4893">
      <w:pPr>
        <w:pStyle w:val="Heading1"/>
      </w:pPr>
      <w:r w:rsidRPr="00C937E0">
        <w:t>RECOMMENDATIONS</w:t>
      </w:r>
    </w:p>
    <w:p w:rsidR="00C33A60" w:rsidRPr="00C937E0" w:rsidRDefault="00C33A60" w:rsidP="00C33A60">
      <w:pPr>
        <w:pStyle w:val="NoSpacing"/>
        <w:rPr>
          <w:rFonts w:ascii="Verdana" w:hAnsi="Verdana"/>
          <w:sz w:val="24"/>
          <w:szCs w:val="24"/>
        </w:rPr>
      </w:pPr>
    </w:p>
    <w:p w:rsidR="00B64BF5" w:rsidRDefault="00C33A60" w:rsidP="00B64BF5">
      <w:pPr>
        <w:pStyle w:val="NoSpacing"/>
        <w:rPr>
          <w:rFonts w:ascii="Verdana" w:hAnsi="Verdana"/>
          <w:b/>
          <w:sz w:val="24"/>
          <w:szCs w:val="24"/>
        </w:rPr>
      </w:pPr>
      <w:r w:rsidRPr="004906B3">
        <w:rPr>
          <w:rFonts w:ascii="Verdana" w:hAnsi="Verdana" w:cs="Arial"/>
          <w:b/>
          <w:color w:val="000000"/>
          <w:sz w:val="24"/>
          <w:szCs w:val="24"/>
        </w:rPr>
        <w:t xml:space="preserve">Consistent with </w:t>
      </w:r>
      <w:r w:rsidRPr="004906B3">
        <w:rPr>
          <w:rFonts w:ascii="Verdana" w:hAnsi="Verdana"/>
          <w:b/>
          <w:sz w:val="24"/>
          <w:szCs w:val="24"/>
        </w:rPr>
        <w:t>The Act to Promote the Education of the Blind (1879), the Educational Services Advisory Committee (ESAC) recommends that APH:</w:t>
      </w:r>
      <w:r w:rsidR="00B64BF5">
        <w:rPr>
          <w:rFonts w:ascii="Verdana" w:hAnsi="Verdana"/>
          <w:b/>
          <w:sz w:val="24"/>
          <w:szCs w:val="24"/>
        </w:rPr>
        <w:t xml:space="preserve"> </w:t>
      </w:r>
    </w:p>
    <w:p w:rsidR="00B64BF5" w:rsidRDefault="00B64BF5" w:rsidP="00B64BF5">
      <w:pPr>
        <w:pStyle w:val="NoSpacing"/>
        <w:rPr>
          <w:rFonts w:ascii="Verdana" w:hAnsi="Verdana"/>
          <w:b/>
          <w:sz w:val="24"/>
          <w:szCs w:val="24"/>
        </w:rPr>
      </w:pPr>
    </w:p>
    <w:p w:rsidR="0081682F" w:rsidRDefault="0081682F" w:rsidP="0081682F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9F60FF">
        <w:rPr>
          <w:rFonts w:ascii="Verdana" w:hAnsi="Verdana"/>
          <w:sz w:val="24"/>
          <w:szCs w:val="24"/>
        </w:rPr>
        <w:t xml:space="preserve">dentify evaluation metrics before new services are launched to measure effectiveness and to make adjustments as appropriate. </w:t>
      </w:r>
    </w:p>
    <w:p w:rsidR="0081682F" w:rsidRPr="0081682F" w:rsidRDefault="0081682F" w:rsidP="0081682F">
      <w:pPr>
        <w:pStyle w:val="ListParagraph"/>
        <w:spacing w:after="0" w:line="240" w:lineRule="auto"/>
        <w:rPr>
          <w:rFonts w:ascii="Verdana" w:hAnsi="Verdana"/>
          <w:sz w:val="8"/>
          <w:szCs w:val="24"/>
        </w:rPr>
      </w:pPr>
    </w:p>
    <w:p w:rsidR="0081682F" w:rsidRDefault="0081682F" w:rsidP="0081682F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9F60FF">
        <w:rPr>
          <w:rFonts w:ascii="Verdana" w:hAnsi="Verdana"/>
          <w:sz w:val="24"/>
          <w:szCs w:val="24"/>
        </w:rPr>
        <w:t>evelop an agency-wide rating rubric or objective measurement that can be applied to or adapted for every department.</w:t>
      </w:r>
    </w:p>
    <w:p w:rsidR="0081682F" w:rsidRPr="0081682F" w:rsidRDefault="0081682F" w:rsidP="0081682F">
      <w:pPr>
        <w:spacing w:after="0" w:line="240" w:lineRule="auto"/>
        <w:rPr>
          <w:rFonts w:ascii="Verdana" w:hAnsi="Verdana"/>
          <w:sz w:val="8"/>
          <w:szCs w:val="8"/>
        </w:rPr>
      </w:pPr>
    </w:p>
    <w:p w:rsidR="0081682F" w:rsidRDefault="0081682F" w:rsidP="004826DC">
      <w:pPr>
        <w:pStyle w:val="ListParagraph"/>
        <w:numPr>
          <w:ilvl w:val="1"/>
          <w:numId w:val="19"/>
        </w:numPr>
        <w:spacing w:after="0" w:line="240" w:lineRule="auto"/>
        <w:ind w:left="1080"/>
        <w:rPr>
          <w:rFonts w:ascii="Verdana" w:hAnsi="Verdana"/>
          <w:sz w:val="24"/>
          <w:szCs w:val="24"/>
        </w:rPr>
      </w:pPr>
      <w:r w:rsidRPr="009F60FF">
        <w:rPr>
          <w:rFonts w:ascii="Verdana" w:hAnsi="Verdana"/>
          <w:sz w:val="24"/>
          <w:szCs w:val="24"/>
        </w:rPr>
        <w:t xml:space="preserve">Identify relevant data to be collected and measured and have an established schedule to review, analyze data and report out </w:t>
      </w:r>
    </w:p>
    <w:p w:rsidR="0081682F" w:rsidRPr="0081682F" w:rsidRDefault="0081682F" w:rsidP="004826DC">
      <w:pPr>
        <w:pStyle w:val="ListParagraph"/>
        <w:spacing w:after="0" w:line="240" w:lineRule="auto"/>
        <w:ind w:left="1080"/>
        <w:rPr>
          <w:rFonts w:ascii="Verdana" w:hAnsi="Verdana"/>
          <w:sz w:val="8"/>
          <w:szCs w:val="8"/>
        </w:rPr>
      </w:pPr>
    </w:p>
    <w:p w:rsidR="0081682F" w:rsidRDefault="0081682F" w:rsidP="004826DC">
      <w:pPr>
        <w:pStyle w:val="ListParagraph"/>
        <w:numPr>
          <w:ilvl w:val="1"/>
          <w:numId w:val="19"/>
        </w:numPr>
        <w:spacing w:after="0" w:line="240" w:lineRule="auto"/>
        <w:ind w:left="1080"/>
        <w:rPr>
          <w:rFonts w:ascii="Verdana" w:hAnsi="Verdana"/>
          <w:sz w:val="24"/>
          <w:szCs w:val="24"/>
        </w:rPr>
      </w:pPr>
      <w:r w:rsidRPr="009F60FF">
        <w:rPr>
          <w:rFonts w:ascii="Verdana" w:hAnsi="Verdana"/>
          <w:sz w:val="24"/>
          <w:szCs w:val="24"/>
        </w:rPr>
        <w:t>One specific example</w:t>
      </w:r>
      <w:r w:rsidR="00FA433C">
        <w:rPr>
          <w:rFonts w:ascii="Verdana" w:hAnsi="Verdana"/>
          <w:sz w:val="24"/>
          <w:szCs w:val="24"/>
        </w:rPr>
        <w:t xml:space="preserve"> is</w:t>
      </w:r>
      <w:r w:rsidRPr="009F60FF">
        <w:rPr>
          <w:rFonts w:ascii="Verdana" w:hAnsi="Verdana"/>
          <w:sz w:val="24"/>
          <w:szCs w:val="24"/>
        </w:rPr>
        <w:t xml:space="preserve"> the continued work to identify customer experience issues and implement staff training plans to improve outcomes.</w:t>
      </w:r>
    </w:p>
    <w:p w:rsidR="0081682F" w:rsidRPr="0081682F" w:rsidRDefault="0081682F" w:rsidP="0081682F">
      <w:pPr>
        <w:spacing w:after="0" w:line="240" w:lineRule="auto"/>
        <w:rPr>
          <w:rFonts w:ascii="Verdana" w:hAnsi="Verdana"/>
          <w:sz w:val="8"/>
          <w:szCs w:val="8"/>
        </w:rPr>
      </w:pPr>
    </w:p>
    <w:p w:rsidR="0081682F" w:rsidRDefault="0081682F" w:rsidP="0081682F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Pr="009F60FF">
        <w:rPr>
          <w:rFonts w:ascii="Verdana" w:hAnsi="Verdana"/>
          <w:sz w:val="24"/>
          <w:szCs w:val="24"/>
        </w:rPr>
        <w:t xml:space="preserve">ommunicate with customers when there are order delays, error messages or order fulfillment issues. </w:t>
      </w:r>
    </w:p>
    <w:p w:rsidR="0081682F" w:rsidRPr="0081682F" w:rsidRDefault="0081682F" w:rsidP="0081682F">
      <w:pPr>
        <w:pStyle w:val="ListParagraph"/>
        <w:spacing w:after="0" w:line="240" w:lineRule="auto"/>
        <w:rPr>
          <w:rFonts w:ascii="Verdana" w:hAnsi="Verdana"/>
          <w:sz w:val="8"/>
          <w:szCs w:val="8"/>
        </w:rPr>
      </w:pPr>
    </w:p>
    <w:p w:rsidR="0081682F" w:rsidRDefault="0081682F" w:rsidP="0081682F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Pr="009F60FF">
        <w:rPr>
          <w:rFonts w:ascii="Verdana" w:hAnsi="Verdana"/>
          <w:sz w:val="24"/>
          <w:szCs w:val="24"/>
        </w:rPr>
        <w:t xml:space="preserve">eview, revise or develop consistent policies to improve quality of services across the organization and keep policies organized in a central location easily accessed by all staff. </w:t>
      </w:r>
    </w:p>
    <w:p w:rsidR="0081682F" w:rsidRPr="0081682F" w:rsidRDefault="0081682F" w:rsidP="0081682F">
      <w:pPr>
        <w:spacing w:after="0" w:line="240" w:lineRule="auto"/>
        <w:rPr>
          <w:rFonts w:ascii="Verdana" w:hAnsi="Verdana"/>
          <w:sz w:val="8"/>
          <w:szCs w:val="8"/>
        </w:rPr>
      </w:pPr>
    </w:p>
    <w:p w:rsidR="00C33A60" w:rsidRPr="0081682F" w:rsidRDefault="0081682F" w:rsidP="0081682F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9F60FF">
        <w:rPr>
          <w:rFonts w:ascii="Verdana" w:hAnsi="Verdana"/>
          <w:sz w:val="24"/>
          <w:szCs w:val="24"/>
        </w:rPr>
        <w:t>xpand ways to utilize and involve EOTs and APH Scholars. This could include face-to-face and/or digital video platforms</w:t>
      </w:r>
      <w:r w:rsidR="00C33A60" w:rsidRPr="00B64BF5">
        <w:rPr>
          <w:rFonts w:ascii="Verdana" w:hAnsi="Verdana"/>
          <w:sz w:val="24"/>
          <w:szCs w:val="24"/>
        </w:rPr>
        <w:t>.</w:t>
      </w:r>
    </w:p>
    <w:p w:rsidR="00930CD6" w:rsidRDefault="00930CD6" w:rsidP="00FE7096">
      <w:pPr>
        <w:pStyle w:val="Body1"/>
        <w:rPr>
          <w:rFonts w:ascii="Verdana" w:hAnsi="Verdana"/>
          <w:szCs w:val="24"/>
        </w:rPr>
      </w:pPr>
    </w:p>
    <w:p w:rsidR="001C33E0" w:rsidRDefault="001C33E0" w:rsidP="00FE7096">
      <w:pPr>
        <w:pStyle w:val="Body1"/>
        <w:rPr>
          <w:rFonts w:ascii="Verdana" w:hAnsi="Verdana"/>
          <w:szCs w:val="24"/>
        </w:rPr>
      </w:pPr>
    </w:p>
    <w:p w:rsidR="00FE7096" w:rsidRPr="00BF68E0" w:rsidRDefault="00FE7096" w:rsidP="00FE7096">
      <w:pPr>
        <w:pStyle w:val="Body1"/>
        <w:rPr>
          <w:rFonts w:ascii="Verdana" w:hAnsi="Verdana"/>
          <w:szCs w:val="24"/>
        </w:rPr>
      </w:pPr>
      <w:r w:rsidRPr="00BF68E0">
        <w:rPr>
          <w:rFonts w:ascii="Verdana" w:hAnsi="Verdana"/>
          <w:szCs w:val="24"/>
        </w:rPr>
        <w:t>Respectfully Submitted,</w:t>
      </w:r>
    </w:p>
    <w:p w:rsidR="00FE7096" w:rsidRPr="00BF68E0" w:rsidRDefault="00FE7096" w:rsidP="00FE7096">
      <w:pPr>
        <w:pStyle w:val="Body1"/>
        <w:rPr>
          <w:rFonts w:ascii="Verdana" w:hAnsi="Verdana"/>
          <w:sz w:val="12"/>
          <w:szCs w:val="12"/>
        </w:rPr>
      </w:pPr>
    </w:p>
    <w:p w:rsidR="001C33E0" w:rsidRDefault="00FE7096" w:rsidP="001C33E0">
      <w:pPr>
        <w:pStyle w:val="Body1"/>
        <w:rPr>
          <w:rFonts w:ascii="Verdana" w:hAnsi="Verdana"/>
          <w:szCs w:val="24"/>
        </w:rPr>
      </w:pPr>
      <w:r w:rsidRPr="00BF68E0">
        <w:rPr>
          <w:rFonts w:ascii="Verdana" w:hAnsi="Verdana"/>
          <w:szCs w:val="24"/>
        </w:rPr>
        <w:t xml:space="preserve">Educational </w:t>
      </w:r>
      <w:r>
        <w:rPr>
          <w:rFonts w:ascii="Verdana" w:hAnsi="Verdana"/>
          <w:szCs w:val="24"/>
        </w:rPr>
        <w:t>Services</w:t>
      </w:r>
      <w:r w:rsidRPr="00BF68E0">
        <w:rPr>
          <w:rFonts w:ascii="Verdana" w:hAnsi="Verdana"/>
          <w:szCs w:val="24"/>
        </w:rPr>
        <w:t xml:space="preserve"> Advisory Committee 201</w:t>
      </w:r>
      <w:r w:rsidR="001C33E0">
        <w:rPr>
          <w:rFonts w:ascii="Verdana" w:hAnsi="Verdana"/>
          <w:szCs w:val="24"/>
        </w:rPr>
        <w:t>9</w:t>
      </w:r>
    </w:p>
    <w:p w:rsidR="001C33E0" w:rsidRDefault="001C33E0" w:rsidP="001C33E0">
      <w:pPr>
        <w:pStyle w:val="Body1"/>
        <w:ind w:firstLine="720"/>
        <w:rPr>
          <w:rFonts w:ascii="Verdana" w:hAnsi="Verdana"/>
          <w:szCs w:val="24"/>
        </w:rPr>
        <w:sectPr w:rsidR="001C33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33E0" w:rsidRDefault="001C33E0" w:rsidP="001C33E0">
      <w:pPr>
        <w:pStyle w:val="Body1"/>
        <w:ind w:firstLine="720"/>
        <w:rPr>
          <w:rFonts w:ascii="Verdana" w:hAnsi="Verdana"/>
          <w:szCs w:val="24"/>
        </w:rPr>
      </w:pPr>
    </w:p>
    <w:p w:rsidR="00FE7096" w:rsidRDefault="0025097A" w:rsidP="001C33E0">
      <w:pPr>
        <w:pStyle w:val="Body1"/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Donna </w:t>
      </w:r>
      <w:proofErr w:type="spellStart"/>
      <w:r>
        <w:rPr>
          <w:rFonts w:ascii="Verdana" w:hAnsi="Verdana"/>
          <w:szCs w:val="24"/>
        </w:rPr>
        <w:t>Earley</w:t>
      </w:r>
      <w:proofErr w:type="spellEnd"/>
      <w:r>
        <w:rPr>
          <w:rFonts w:ascii="Verdana" w:hAnsi="Verdana"/>
          <w:szCs w:val="24"/>
        </w:rPr>
        <w:t>, Chair</w:t>
      </w:r>
    </w:p>
    <w:p w:rsidR="00FE7096" w:rsidRDefault="0025097A" w:rsidP="00FE7096">
      <w:pPr>
        <w:pStyle w:val="Body1"/>
        <w:ind w:left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Carson Cochran</w:t>
      </w:r>
    </w:p>
    <w:p w:rsidR="00FE7096" w:rsidRPr="00BF68E0" w:rsidRDefault="0025097A" w:rsidP="00FE7096">
      <w:pPr>
        <w:pStyle w:val="Body1"/>
        <w:ind w:left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Mary Lane</w:t>
      </w:r>
    </w:p>
    <w:p w:rsidR="00FE7096" w:rsidRPr="00BF68E0" w:rsidRDefault="0025097A" w:rsidP="00FE7096">
      <w:pPr>
        <w:pStyle w:val="Body1"/>
        <w:ind w:left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Marj</w:t>
      </w:r>
      <w:r w:rsidR="00317790">
        <w:rPr>
          <w:rFonts w:ascii="Verdana" w:hAnsi="Verdana"/>
          <w:szCs w:val="24"/>
        </w:rPr>
        <w:t>ori</w:t>
      </w:r>
      <w:r>
        <w:rPr>
          <w:rFonts w:ascii="Verdana" w:hAnsi="Verdana"/>
          <w:szCs w:val="24"/>
        </w:rPr>
        <w:t>e Kaiser</w:t>
      </w:r>
    </w:p>
    <w:p w:rsidR="001C33E0" w:rsidRDefault="001C33E0" w:rsidP="00FE7096">
      <w:pPr>
        <w:pStyle w:val="Body1"/>
        <w:ind w:left="720"/>
        <w:rPr>
          <w:rFonts w:ascii="Verdana" w:hAnsi="Verdana"/>
          <w:szCs w:val="24"/>
        </w:rPr>
      </w:pPr>
    </w:p>
    <w:p w:rsidR="0025097A" w:rsidRDefault="0025097A" w:rsidP="00FE7096">
      <w:pPr>
        <w:pStyle w:val="Body1"/>
        <w:ind w:left="720"/>
        <w:rPr>
          <w:rFonts w:ascii="Verdana" w:hAnsi="Verdana"/>
          <w:szCs w:val="24"/>
        </w:rPr>
      </w:pPr>
    </w:p>
    <w:p w:rsidR="0025097A" w:rsidRDefault="0025097A" w:rsidP="00FE7096">
      <w:pPr>
        <w:pStyle w:val="Body1"/>
        <w:ind w:left="720"/>
        <w:rPr>
          <w:rFonts w:ascii="Verdana" w:hAnsi="Verdana"/>
          <w:szCs w:val="24"/>
        </w:rPr>
      </w:pPr>
    </w:p>
    <w:p w:rsidR="00FE7096" w:rsidRPr="00BF68E0" w:rsidRDefault="0025097A" w:rsidP="00FE7096">
      <w:pPr>
        <w:pStyle w:val="Body1"/>
        <w:ind w:left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Serena Preston</w:t>
      </w:r>
      <w:r w:rsidR="00FE7096">
        <w:rPr>
          <w:rFonts w:ascii="Verdana" w:hAnsi="Verdana"/>
          <w:szCs w:val="24"/>
        </w:rPr>
        <w:t xml:space="preserve"> </w:t>
      </w:r>
    </w:p>
    <w:p w:rsidR="00FE7096" w:rsidRPr="00BF68E0" w:rsidRDefault="00FE7096" w:rsidP="00FE7096">
      <w:pPr>
        <w:pStyle w:val="Body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 w:rsidR="0025097A">
        <w:rPr>
          <w:rFonts w:ascii="Verdana" w:hAnsi="Verdana"/>
          <w:szCs w:val="24"/>
        </w:rPr>
        <w:t>Donna Sorensen</w:t>
      </w:r>
    </w:p>
    <w:p w:rsidR="00FE7096" w:rsidRDefault="00317790" w:rsidP="00FE7096">
      <w:pPr>
        <w:pStyle w:val="Body1"/>
        <w:ind w:left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Robert</w:t>
      </w:r>
      <w:r w:rsidR="0025097A">
        <w:rPr>
          <w:rFonts w:ascii="Verdana" w:hAnsi="Verdana"/>
          <w:szCs w:val="24"/>
        </w:rPr>
        <w:t xml:space="preserve"> Hair</w:t>
      </w:r>
    </w:p>
    <w:p w:rsidR="00FE7096" w:rsidRPr="00BF68E0" w:rsidRDefault="00FE7096" w:rsidP="00FE7096">
      <w:pPr>
        <w:pStyle w:val="Body1"/>
        <w:ind w:left="720"/>
        <w:rPr>
          <w:rFonts w:ascii="Verdana" w:hAnsi="Verdana"/>
          <w:szCs w:val="24"/>
        </w:rPr>
      </w:pPr>
    </w:p>
    <w:p w:rsidR="001C33E0" w:rsidRDefault="001C33E0" w:rsidP="00C33A60">
      <w:pPr>
        <w:rPr>
          <w:rFonts w:ascii="Verdana" w:hAnsi="Verdana"/>
          <w:sz w:val="24"/>
          <w:szCs w:val="24"/>
        </w:rPr>
        <w:sectPr w:rsidR="001C33E0" w:rsidSect="001C33E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E7096" w:rsidRPr="00C33A60" w:rsidRDefault="00FE7096" w:rsidP="00C33A60">
      <w:pPr>
        <w:rPr>
          <w:rFonts w:ascii="Verdana" w:hAnsi="Verdana"/>
          <w:sz w:val="24"/>
          <w:szCs w:val="24"/>
        </w:rPr>
      </w:pPr>
    </w:p>
    <w:sectPr w:rsidR="00FE7096" w:rsidRPr="00C33A60" w:rsidSect="001C33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7B" w:rsidRDefault="003E357B">
      <w:pPr>
        <w:spacing w:after="0" w:line="240" w:lineRule="auto"/>
      </w:pPr>
      <w:r>
        <w:separator/>
      </w:r>
    </w:p>
  </w:endnote>
  <w:endnote w:type="continuationSeparator" w:id="0">
    <w:p w:rsidR="003E357B" w:rsidRDefault="003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E5" w:rsidRDefault="00F8127A" w:rsidP="00BB7F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6E5" w:rsidRDefault="003E357B">
    <w:pPr>
      <w:pStyle w:val="Footer"/>
    </w:pPr>
  </w:p>
  <w:p w:rsidR="00E20A39" w:rsidRDefault="003E35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E5" w:rsidRPr="00510E5B" w:rsidRDefault="00F8127A" w:rsidP="00BB7FD6">
    <w:pPr>
      <w:pStyle w:val="Footer"/>
      <w:framePr w:wrap="around" w:vAnchor="text" w:hAnchor="margin" w:xAlign="center" w:y="1"/>
      <w:rPr>
        <w:rStyle w:val="PageNumber"/>
        <w:rFonts w:ascii="Verdana" w:hAnsi="Verdana"/>
        <w:sz w:val="22"/>
      </w:rPr>
    </w:pPr>
    <w:r w:rsidRPr="00510E5B">
      <w:rPr>
        <w:rStyle w:val="PageNumber"/>
        <w:rFonts w:ascii="Verdana" w:hAnsi="Verdana"/>
        <w:sz w:val="22"/>
      </w:rPr>
      <w:fldChar w:fldCharType="begin"/>
    </w:r>
    <w:r w:rsidRPr="00510E5B">
      <w:rPr>
        <w:rStyle w:val="PageNumber"/>
        <w:rFonts w:ascii="Verdana" w:hAnsi="Verdana"/>
        <w:sz w:val="22"/>
      </w:rPr>
      <w:instrText xml:space="preserve">PAGE  </w:instrText>
    </w:r>
    <w:r w:rsidRPr="00510E5B">
      <w:rPr>
        <w:rStyle w:val="PageNumber"/>
        <w:rFonts w:ascii="Verdana" w:hAnsi="Verdana"/>
        <w:sz w:val="22"/>
      </w:rPr>
      <w:fldChar w:fldCharType="separate"/>
    </w:r>
    <w:r w:rsidR="003D4893">
      <w:rPr>
        <w:rStyle w:val="PageNumber"/>
        <w:rFonts w:ascii="Verdana" w:hAnsi="Verdana"/>
        <w:noProof/>
        <w:sz w:val="22"/>
      </w:rPr>
      <w:t>1</w:t>
    </w:r>
    <w:r w:rsidRPr="00510E5B">
      <w:rPr>
        <w:rStyle w:val="PageNumber"/>
        <w:rFonts w:ascii="Verdana" w:hAnsi="Verdana"/>
        <w:sz w:val="22"/>
      </w:rPr>
      <w:fldChar w:fldCharType="end"/>
    </w:r>
  </w:p>
  <w:p w:rsidR="005876E5" w:rsidRDefault="003E357B">
    <w:pPr>
      <w:pStyle w:val="Footer"/>
    </w:pPr>
  </w:p>
  <w:p w:rsidR="00E20A39" w:rsidRDefault="003E35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8B" w:rsidRDefault="003E3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7B" w:rsidRDefault="003E357B">
      <w:pPr>
        <w:spacing w:after="0" w:line="240" w:lineRule="auto"/>
      </w:pPr>
      <w:r>
        <w:separator/>
      </w:r>
    </w:p>
  </w:footnote>
  <w:footnote w:type="continuationSeparator" w:id="0">
    <w:p w:rsidR="003E357B" w:rsidRDefault="003E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8B" w:rsidRDefault="003E3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8B" w:rsidRDefault="003E3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8B" w:rsidRDefault="003E3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613"/>
    <w:multiLevelType w:val="hybridMultilevel"/>
    <w:tmpl w:val="CA12CDB0"/>
    <w:lvl w:ilvl="0" w:tplc="7D2C7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723EB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088"/>
    <w:multiLevelType w:val="hybridMultilevel"/>
    <w:tmpl w:val="15AA6A6A"/>
    <w:lvl w:ilvl="0" w:tplc="F3D02DC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0376"/>
    <w:multiLevelType w:val="hybridMultilevel"/>
    <w:tmpl w:val="EEFC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37A5"/>
    <w:multiLevelType w:val="hybridMultilevel"/>
    <w:tmpl w:val="2780C30A"/>
    <w:lvl w:ilvl="0" w:tplc="5CB4FB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9EA"/>
    <w:multiLevelType w:val="hybridMultilevel"/>
    <w:tmpl w:val="ED825736"/>
    <w:lvl w:ilvl="0" w:tplc="7710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705D"/>
    <w:multiLevelType w:val="hybridMultilevel"/>
    <w:tmpl w:val="0388E000"/>
    <w:lvl w:ilvl="0" w:tplc="A01A8D16">
      <w:start w:val="10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200BA"/>
    <w:multiLevelType w:val="hybridMultilevel"/>
    <w:tmpl w:val="76401904"/>
    <w:lvl w:ilvl="0" w:tplc="346C5C3A">
      <w:start w:val="4"/>
      <w:numFmt w:val="decimal"/>
      <w:lvlText w:val="%1."/>
      <w:lvlJc w:val="left"/>
      <w:pPr>
        <w:ind w:left="720" w:hanging="360"/>
      </w:pPr>
      <w:rPr>
        <w:rFonts w:hint="default"/>
        <w:color w:val="723EB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638"/>
    <w:multiLevelType w:val="hybridMultilevel"/>
    <w:tmpl w:val="5E9C1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F2BBD"/>
    <w:multiLevelType w:val="hybridMultilevel"/>
    <w:tmpl w:val="C5247EF8"/>
    <w:lvl w:ilvl="0" w:tplc="C3985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30049"/>
    <w:multiLevelType w:val="hybridMultilevel"/>
    <w:tmpl w:val="E202E95A"/>
    <w:lvl w:ilvl="0" w:tplc="26DE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52921"/>
    <w:multiLevelType w:val="hybridMultilevel"/>
    <w:tmpl w:val="752E00C6"/>
    <w:lvl w:ilvl="0" w:tplc="C0E0F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C5680"/>
    <w:multiLevelType w:val="hybridMultilevel"/>
    <w:tmpl w:val="7C62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7AA4"/>
    <w:multiLevelType w:val="hybridMultilevel"/>
    <w:tmpl w:val="466E67CA"/>
    <w:lvl w:ilvl="0" w:tplc="F9BE7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0193"/>
    <w:multiLevelType w:val="hybridMultilevel"/>
    <w:tmpl w:val="87461B04"/>
    <w:lvl w:ilvl="0" w:tplc="CF78EF2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C3306"/>
    <w:multiLevelType w:val="hybridMultilevel"/>
    <w:tmpl w:val="60F65314"/>
    <w:lvl w:ilvl="0" w:tplc="67A47D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B485B"/>
    <w:multiLevelType w:val="hybridMultilevel"/>
    <w:tmpl w:val="4F2CC5B0"/>
    <w:lvl w:ilvl="0" w:tplc="67A47D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084D99"/>
    <w:multiLevelType w:val="hybridMultilevel"/>
    <w:tmpl w:val="DAD4B00C"/>
    <w:lvl w:ilvl="0" w:tplc="E79C0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45F7B"/>
    <w:multiLevelType w:val="hybridMultilevel"/>
    <w:tmpl w:val="4800B1F0"/>
    <w:lvl w:ilvl="0" w:tplc="66C28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74E69"/>
    <w:multiLevelType w:val="hybridMultilevel"/>
    <w:tmpl w:val="87461B04"/>
    <w:lvl w:ilvl="0" w:tplc="CF78EF2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17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  <w:num w:numId="14">
    <w:abstractNumId w:val="16"/>
  </w:num>
  <w:num w:numId="15">
    <w:abstractNumId w:val="9"/>
  </w:num>
  <w:num w:numId="16">
    <w:abstractNumId w:val="15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60"/>
    <w:rsid w:val="001727BA"/>
    <w:rsid w:val="001C33E0"/>
    <w:rsid w:val="0025097A"/>
    <w:rsid w:val="002B0A62"/>
    <w:rsid w:val="00317790"/>
    <w:rsid w:val="003D4893"/>
    <w:rsid w:val="003E357B"/>
    <w:rsid w:val="003F599C"/>
    <w:rsid w:val="004826DC"/>
    <w:rsid w:val="004A10FE"/>
    <w:rsid w:val="005021E7"/>
    <w:rsid w:val="0081682F"/>
    <w:rsid w:val="00930CD6"/>
    <w:rsid w:val="00AA11F0"/>
    <w:rsid w:val="00B64BF5"/>
    <w:rsid w:val="00C33A60"/>
    <w:rsid w:val="00CF451E"/>
    <w:rsid w:val="00D063D8"/>
    <w:rsid w:val="00D13D27"/>
    <w:rsid w:val="00E62B83"/>
    <w:rsid w:val="00EF740D"/>
    <w:rsid w:val="00F8127A"/>
    <w:rsid w:val="00FA433C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DB45"/>
  <w15:chartTrackingRefBased/>
  <w15:docId w15:val="{6F95416A-9816-45B2-A9D4-1CEF84C7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A60"/>
  </w:style>
  <w:style w:type="paragraph" w:styleId="Heading1">
    <w:name w:val="heading 1"/>
    <w:basedOn w:val="NoSpacing"/>
    <w:next w:val="Normal"/>
    <w:link w:val="Heading1Char"/>
    <w:uiPriority w:val="9"/>
    <w:qFormat/>
    <w:rsid w:val="003D4893"/>
    <w:pPr>
      <w:outlineLvl w:val="0"/>
    </w:pPr>
    <w:rPr>
      <w:rFonts w:ascii="Verdana" w:hAnsi="Verdana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60"/>
    <w:pPr>
      <w:ind w:left="720"/>
      <w:contextualSpacing/>
    </w:pPr>
  </w:style>
  <w:style w:type="paragraph" w:styleId="NoSpacing">
    <w:name w:val="No Spacing"/>
    <w:uiPriority w:val="1"/>
    <w:qFormat/>
    <w:rsid w:val="00C33A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1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682F"/>
  </w:style>
  <w:style w:type="paragraph" w:customStyle="1" w:styleId="Body1">
    <w:name w:val="Body 1"/>
    <w:rsid w:val="00FE709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rsid w:val="00FE709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E70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FE7096"/>
  </w:style>
  <w:style w:type="paragraph" w:styleId="Title">
    <w:name w:val="Title"/>
    <w:basedOn w:val="NoSpacing"/>
    <w:next w:val="Normal"/>
    <w:link w:val="TitleChar"/>
    <w:uiPriority w:val="10"/>
    <w:qFormat/>
    <w:rsid w:val="003D4893"/>
    <w:pPr>
      <w:jc w:val="center"/>
    </w:pPr>
    <w:rPr>
      <w:rFonts w:ascii="Verdana" w:hAnsi="Verdana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D4893"/>
    <w:rPr>
      <w:rFonts w:ascii="Verdana" w:hAnsi="Verdan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4893"/>
    <w:rPr>
      <w:rFonts w:ascii="Verdana" w:hAnsi="Verdana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0644-B445-4B84-BB83-3B9713DF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539</Words>
  <Characters>3077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2017-09-21T19:47:00Z</cp:lastPrinted>
  <dcterms:created xsi:type="dcterms:W3CDTF">2019-09-10T16:43:00Z</dcterms:created>
  <dcterms:modified xsi:type="dcterms:W3CDTF">2020-09-28T16:38:00Z</dcterms:modified>
</cp:coreProperties>
</file>